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E61CB" w14:textId="0EE98136" w:rsidR="0046165B" w:rsidRPr="00985BE3" w:rsidRDefault="00E41D61" w:rsidP="00FA5A8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  <w:lang w:val="es-EC"/>
        </w:rPr>
      </w:pPr>
      <w:r>
        <w:rPr>
          <w:rFonts w:ascii="Arial" w:eastAsia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07C60A72" wp14:editId="6106E05D">
                <wp:simplePos x="0" y="0"/>
                <wp:positionH relativeFrom="margin">
                  <wp:posOffset>-536575</wp:posOffset>
                </wp:positionH>
                <wp:positionV relativeFrom="page">
                  <wp:posOffset>413385</wp:posOffset>
                </wp:positionV>
                <wp:extent cx="1589405" cy="376555"/>
                <wp:effectExtent l="0" t="0" r="0" b="0"/>
                <wp:wrapNone/>
                <wp:docPr id="1073741831" name="Rectángulo 1073741831" descr="Boletín N° 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9405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66C0A7" w14:textId="27BBDE67" w:rsidR="00E41D61" w:rsidRDefault="00E41D61" w:rsidP="00E41D6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 xml:space="preserve">Boletín N° </w:t>
                            </w:r>
                            <w:r w:rsidR="0046165B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>3</w:t>
                            </w:r>
                            <w:r w:rsidR="002847F1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>7</w:t>
                            </w:r>
                            <w:r w:rsidR="0046165B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>0</w:t>
                            </w:r>
                          </w:p>
                        </w:txbxContent>
                      </wps:txbx>
                      <wps:bodyPr spcFirstLastPara="1" wrap="square" lIns="45675" tIns="45675" rIns="45675" bIns="456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60A72" id="Rectángulo 1073741831" o:spid="_x0000_s1026" alt="Boletín N° 000" style="position:absolute;left:0;text-align:left;margin-left:-42.25pt;margin-top:32.55pt;width:125.15pt;height:29.65pt;z-index:25166131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" filled="f" stroked="f">
                <v:textbox inset="1.26875mm,1.26875mm,1.26875mm,1.26875mm">
                  <w:txbxContent>
                    <w:p w14:paraId="6466C0A7" w14:textId="27BBDE67" w:rsidR="00E41D61" w:rsidRDefault="00E41D61" w:rsidP="00E41D6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  <w:t xml:space="preserve">Boletín N° </w:t>
                      </w:r>
                      <w:r w:rsidR="0046165B"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  <w:t>3</w:t>
                      </w:r>
                      <w:r w:rsidR="002847F1"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  <w:t>7</w:t>
                      </w:r>
                      <w:r w:rsidR="0046165B"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  <w:t>0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eastAsia="Arial" w:hAnsi="Arial" w:cs="Arial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5CF55B67" wp14:editId="074C8726">
                <wp:simplePos x="0" y="0"/>
                <wp:positionH relativeFrom="margin">
                  <wp:posOffset>4145280</wp:posOffset>
                </wp:positionH>
                <wp:positionV relativeFrom="page">
                  <wp:posOffset>529590</wp:posOffset>
                </wp:positionV>
                <wp:extent cx="1766815" cy="340414"/>
                <wp:effectExtent l="0" t="0" r="0" b="0"/>
                <wp:wrapNone/>
                <wp:docPr id="1073741830" name="Rectángulo 1073741830" descr="02 de junio de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815" cy="340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D6E988" w14:textId="2CAC1EE5" w:rsidR="00DF5269" w:rsidRDefault="00985BE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>1</w:t>
                            </w:r>
                            <w:r w:rsidR="002847F1"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>6</w:t>
                            </w:r>
                            <w:r w:rsidR="005110E8"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 xml:space="preserve"> de junio de 2025</w:t>
                            </w:r>
                          </w:p>
                        </w:txbxContent>
                      </wps:txbx>
                      <wps:bodyPr spcFirstLastPara="1" wrap="square" lIns="45675" tIns="45675" rIns="45675" bIns="456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55B67" id="Rectángulo 1073741830" o:spid="_x0000_s1027" alt="02 de junio de 2025" style="position:absolute;left:0;text-align:left;margin-left:326.4pt;margin-top:41.7pt;width:139.1pt;height:26.8pt;z-index: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" filled="f" stroked="f">
                <v:textbox inset="1.26875mm,1.26875mm,1.26875mm,1.26875mm">
                  <w:txbxContent>
                    <w:p w14:paraId="46D6E988" w14:textId="2CAC1EE5" w:rsidR="00DF5269" w:rsidRDefault="00985BE3">
                      <w:pPr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>1</w:t>
                      </w:r>
                      <w:r w:rsidR="002847F1"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>6</w:t>
                      </w:r>
                      <w:r w:rsidR="005110E8"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 xml:space="preserve"> de junio de 2025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5E6E5E">
        <w:rPr>
          <w:rFonts w:ascii="Arial" w:eastAsia="Arial" w:hAnsi="Arial" w:cs="Arial"/>
          <w:b/>
          <w:color w:val="000000"/>
          <w:sz w:val="28"/>
          <w:szCs w:val="28"/>
          <w:lang w:val="es-EC"/>
        </w:rPr>
        <w:t>Zamora Chinchipe</w:t>
      </w:r>
      <w:r w:rsidR="00FA5A8B">
        <w:rPr>
          <w:rFonts w:ascii="Arial" w:eastAsia="Arial" w:hAnsi="Arial" w:cs="Arial"/>
          <w:b/>
          <w:color w:val="000000"/>
          <w:sz w:val="28"/>
          <w:szCs w:val="28"/>
          <w:lang w:val="es-EC"/>
        </w:rPr>
        <w:t>:</w:t>
      </w:r>
      <w:r w:rsidR="005E6E5E">
        <w:rPr>
          <w:rFonts w:ascii="Arial" w:eastAsia="Arial" w:hAnsi="Arial" w:cs="Arial"/>
          <w:b/>
          <w:color w:val="000000"/>
          <w:sz w:val="28"/>
          <w:szCs w:val="28"/>
          <w:lang w:val="es-EC"/>
        </w:rPr>
        <w:t xml:space="preserve"> </w:t>
      </w:r>
      <w:r w:rsidR="00D05CEB">
        <w:rPr>
          <w:rFonts w:ascii="Arial" w:eastAsia="Arial" w:hAnsi="Arial" w:cs="Arial"/>
          <w:b/>
          <w:color w:val="000000"/>
          <w:sz w:val="28"/>
          <w:szCs w:val="28"/>
          <w:lang w:val="es-EC"/>
        </w:rPr>
        <w:t>En 2024, m</w:t>
      </w:r>
      <w:r w:rsidR="0027136E">
        <w:rPr>
          <w:rFonts w:ascii="Arial" w:eastAsia="Arial" w:hAnsi="Arial" w:cs="Arial"/>
          <w:b/>
          <w:color w:val="000000"/>
          <w:sz w:val="28"/>
          <w:szCs w:val="28"/>
          <w:lang w:val="es-EC"/>
        </w:rPr>
        <w:t xml:space="preserve">ás de </w:t>
      </w:r>
      <w:r w:rsidR="002847F1">
        <w:rPr>
          <w:rFonts w:ascii="Arial" w:eastAsia="Arial" w:hAnsi="Arial" w:cs="Arial"/>
          <w:b/>
          <w:color w:val="000000"/>
          <w:sz w:val="28"/>
          <w:szCs w:val="28"/>
          <w:lang w:val="es-EC"/>
        </w:rPr>
        <w:t>5.000</w:t>
      </w:r>
      <w:r w:rsidR="0027136E">
        <w:rPr>
          <w:rFonts w:ascii="Arial" w:eastAsia="Arial" w:hAnsi="Arial" w:cs="Arial"/>
          <w:b/>
          <w:color w:val="000000"/>
          <w:sz w:val="28"/>
          <w:szCs w:val="28"/>
          <w:lang w:val="es-EC"/>
        </w:rPr>
        <w:t xml:space="preserve"> productores </w:t>
      </w:r>
      <w:r w:rsidR="003F63EB">
        <w:rPr>
          <w:rFonts w:ascii="Arial" w:eastAsia="Arial" w:hAnsi="Arial" w:cs="Arial"/>
          <w:b/>
          <w:color w:val="000000"/>
          <w:sz w:val="28"/>
          <w:szCs w:val="28"/>
          <w:lang w:val="es-EC"/>
        </w:rPr>
        <w:t xml:space="preserve">beneficiados con asistencias técnicas y capacitaciones </w:t>
      </w:r>
    </w:p>
    <w:p w14:paraId="7089AFF8" w14:textId="77777777" w:rsidR="00252C0A" w:rsidRPr="00985BE3" w:rsidRDefault="00252C0A" w:rsidP="00252C0A">
      <w:pPr>
        <w:rPr>
          <w:rFonts w:ascii="Arial" w:hAnsi="Arial" w:cs="Arial"/>
          <w:b/>
          <w:bCs/>
          <w:sz w:val="28"/>
          <w:szCs w:val="28"/>
          <w:lang w:val="es-EC"/>
        </w:rPr>
      </w:pPr>
    </w:p>
    <w:p w14:paraId="4F7CAE1B" w14:textId="77777777" w:rsidR="00985BE3" w:rsidRDefault="00985BE3" w:rsidP="00252C0A">
      <w:pPr>
        <w:jc w:val="both"/>
        <w:rPr>
          <w:rFonts w:ascii="Arial" w:hAnsi="Arial" w:cs="Arial"/>
          <w:lang w:val="es-EC"/>
        </w:rPr>
      </w:pPr>
    </w:p>
    <w:p w14:paraId="3CE60887" w14:textId="384EDBD5" w:rsidR="005E6E5E" w:rsidRDefault="003F63EB" w:rsidP="005E6E5E">
      <w:pPr>
        <w:jc w:val="both"/>
        <w:rPr>
          <w:rFonts w:ascii="Arial" w:hAnsi="Arial" w:cs="Arial"/>
          <w:lang w:val="es-EC"/>
        </w:rPr>
      </w:pPr>
      <w:r>
        <w:rPr>
          <w:rFonts w:ascii="Arial" w:hAnsi="Arial" w:cs="Arial"/>
          <w:lang w:val="es-EC"/>
        </w:rPr>
        <w:t>Productores de Zamora Chinchipe fueron beneficiados en 2024 con subvenciones, otorgamiento de títulos de propiedad</w:t>
      </w:r>
      <w:r w:rsidR="002847F1">
        <w:rPr>
          <w:rFonts w:ascii="Arial" w:hAnsi="Arial" w:cs="Arial"/>
          <w:lang w:val="es-EC"/>
        </w:rPr>
        <w:t xml:space="preserve"> de tierras</w:t>
      </w:r>
      <w:r>
        <w:rPr>
          <w:rFonts w:ascii="Arial" w:hAnsi="Arial" w:cs="Arial"/>
          <w:lang w:val="es-EC"/>
        </w:rPr>
        <w:t xml:space="preserve">, </w:t>
      </w:r>
      <w:r w:rsidR="00B655F0">
        <w:rPr>
          <w:rFonts w:ascii="Arial" w:hAnsi="Arial" w:cs="Arial"/>
          <w:lang w:val="es-EC"/>
        </w:rPr>
        <w:t xml:space="preserve">asesorías, capacitaciones, fortalecimiento de la Agricultura Familiar Campesina, entre otros logros </w:t>
      </w:r>
      <w:r w:rsidR="002847F1">
        <w:rPr>
          <w:rFonts w:ascii="Arial" w:hAnsi="Arial" w:cs="Arial"/>
          <w:lang w:val="es-EC"/>
        </w:rPr>
        <w:t>presentados este lunes</w:t>
      </w:r>
      <w:r w:rsidR="00B655F0">
        <w:rPr>
          <w:rFonts w:ascii="Arial" w:hAnsi="Arial" w:cs="Arial"/>
          <w:lang w:val="es-EC"/>
        </w:rPr>
        <w:t>, durante el evento de Rendición de Cuentas de la Dirección Distrital</w:t>
      </w:r>
      <w:r w:rsidR="002847F1">
        <w:rPr>
          <w:rFonts w:ascii="Arial" w:hAnsi="Arial" w:cs="Arial"/>
          <w:lang w:val="es-EC"/>
        </w:rPr>
        <w:t xml:space="preserve"> del Ministerio de Agricultura y Ganadería (MAG), en la provincia amazónica.</w:t>
      </w:r>
    </w:p>
    <w:p w14:paraId="4F4BFB17" w14:textId="77777777" w:rsidR="001624AA" w:rsidRDefault="001624AA" w:rsidP="005E6E5E">
      <w:pPr>
        <w:jc w:val="both"/>
        <w:rPr>
          <w:rFonts w:ascii="Arial" w:hAnsi="Arial" w:cs="Arial"/>
          <w:lang w:val="es-EC"/>
        </w:rPr>
      </w:pPr>
    </w:p>
    <w:p w14:paraId="32F5530C" w14:textId="675E5CC4" w:rsidR="001624AA" w:rsidRDefault="002847F1" w:rsidP="001624AA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C"/>
        </w:rPr>
        <w:t>C</w:t>
      </w:r>
      <w:r w:rsidR="00B655F0">
        <w:rPr>
          <w:rFonts w:ascii="Arial" w:hAnsi="Arial" w:cs="Arial"/>
          <w:lang w:val="es-ES_tradnl"/>
        </w:rPr>
        <w:t xml:space="preserve">on </w:t>
      </w:r>
      <w:r w:rsidR="001624AA">
        <w:rPr>
          <w:rFonts w:ascii="Arial" w:hAnsi="Arial" w:cs="Arial"/>
          <w:lang w:val="es-ES_tradnl"/>
        </w:rPr>
        <w:t xml:space="preserve">respecto a las subvenciones, se entregaron 115 kits de semillas de pasturas y silvopasturas, </w:t>
      </w:r>
      <w:r>
        <w:rPr>
          <w:rFonts w:ascii="Arial" w:hAnsi="Arial" w:cs="Arial"/>
          <w:lang w:val="es-ES_tradnl"/>
        </w:rPr>
        <w:t>en los que el M</w:t>
      </w:r>
      <w:r w:rsidR="001624AA">
        <w:rPr>
          <w:rFonts w:ascii="Arial" w:hAnsi="Arial" w:cs="Arial"/>
          <w:lang w:val="es-ES_tradnl"/>
        </w:rPr>
        <w:t>AG</w:t>
      </w:r>
      <w:r>
        <w:rPr>
          <w:rFonts w:ascii="Arial" w:hAnsi="Arial" w:cs="Arial"/>
          <w:lang w:val="es-ES_tradnl"/>
        </w:rPr>
        <w:t xml:space="preserve"> </w:t>
      </w:r>
      <w:r w:rsidR="001624AA">
        <w:rPr>
          <w:rFonts w:ascii="Arial" w:hAnsi="Arial" w:cs="Arial"/>
          <w:lang w:val="es-ES_tradnl"/>
        </w:rPr>
        <w:t xml:space="preserve">invirtió </w:t>
      </w:r>
      <w:r w:rsidR="001624AA" w:rsidRPr="00B22D50">
        <w:rPr>
          <w:rFonts w:ascii="Arial" w:hAnsi="Arial" w:cs="Arial"/>
          <w:lang w:val="es-ES_tradnl"/>
        </w:rPr>
        <w:t>22.517,87</w:t>
      </w:r>
      <w:r w:rsidR="001624AA">
        <w:rPr>
          <w:rFonts w:ascii="Arial" w:hAnsi="Arial" w:cs="Arial"/>
          <w:lang w:val="es-ES_tradnl"/>
        </w:rPr>
        <w:t xml:space="preserve"> dólares. Se otorgaron 17 </w:t>
      </w:r>
      <w:r w:rsidR="001624AA" w:rsidRPr="00B22D50">
        <w:rPr>
          <w:rFonts w:ascii="Arial" w:hAnsi="Arial" w:cs="Arial"/>
          <w:lang w:val="es-ES_tradnl"/>
        </w:rPr>
        <w:t xml:space="preserve">kits de paquetes tecnológicos pecuarios, por </w:t>
      </w:r>
      <w:r w:rsidR="001624AA">
        <w:rPr>
          <w:rFonts w:ascii="Arial" w:hAnsi="Arial" w:cs="Arial"/>
          <w:lang w:val="es-ES_tradnl"/>
        </w:rPr>
        <w:t>1</w:t>
      </w:r>
      <w:r w:rsidR="001624AA" w:rsidRPr="00B22D50">
        <w:rPr>
          <w:rFonts w:ascii="Arial" w:hAnsi="Arial" w:cs="Arial"/>
          <w:lang w:val="es-ES_tradnl"/>
        </w:rPr>
        <w:t>1.544,46</w:t>
      </w:r>
      <w:r w:rsidR="001624AA">
        <w:rPr>
          <w:rFonts w:ascii="Arial" w:hAnsi="Arial" w:cs="Arial"/>
          <w:lang w:val="es-ES_tradnl"/>
        </w:rPr>
        <w:t xml:space="preserve"> dólares; así como 14 kits de inseminación artificial, </w:t>
      </w:r>
      <w:r w:rsidR="001624AA" w:rsidRPr="00B22D50">
        <w:rPr>
          <w:rFonts w:ascii="Arial" w:hAnsi="Arial" w:cs="Arial"/>
          <w:lang w:val="es-ES_tradnl"/>
        </w:rPr>
        <w:t>por un monto de 1.592,17</w:t>
      </w:r>
      <w:r w:rsidR="001624AA">
        <w:rPr>
          <w:rFonts w:ascii="Arial" w:hAnsi="Arial" w:cs="Arial"/>
          <w:lang w:val="es-ES_tradnl"/>
        </w:rPr>
        <w:t xml:space="preserve"> dólares. </w:t>
      </w:r>
    </w:p>
    <w:p w14:paraId="087FAF3B" w14:textId="77777777" w:rsidR="001624AA" w:rsidRDefault="001624AA" w:rsidP="001624AA">
      <w:pPr>
        <w:jc w:val="both"/>
        <w:rPr>
          <w:rFonts w:ascii="Arial" w:hAnsi="Arial" w:cs="Arial"/>
          <w:lang w:val="es-ES_tradnl"/>
        </w:rPr>
      </w:pPr>
    </w:p>
    <w:p w14:paraId="257222EE" w14:textId="3A1EB7C0" w:rsidR="001624AA" w:rsidRPr="00AB7410" w:rsidRDefault="001624AA" w:rsidP="001624AA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Se entregaron tres Unidades Móviles Agroproductivas, </w:t>
      </w:r>
      <w:r w:rsidR="002847F1">
        <w:rPr>
          <w:rFonts w:ascii="Arial" w:hAnsi="Arial" w:cs="Arial"/>
          <w:lang w:val="es-ES_tradnl"/>
        </w:rPr>
        <w:t>con una</w:t>
      </w:r>
      <w:r>
        <w:rPr>
          <w:rFonts w:ascii="Arial" w:hAnsi="Arial" w:cs="Arial"/>
          <w:lang w:val="es-ES_tradnl"/>
        </w:rPr>
        <w:t xml:space="preserve"> subvenci</w:t>
      </w:r>
      <w:r w:rsidR="002847F1">
        <w:rPr>
          <w:rFonts w:ascii="Arial" w:hAnsi="Arial" w:cs="Arial"/>
          <w:lang w:val="es-ES_tradnl"/>
        </w:rPr>
        <w:t>ón</w:t>
      </w:r>
      <w:r>
        <w:rPr>
          <w:rFonts w:ascii="Arial" w:hAnsi="Arial" w:cs="Arial"/>
          <w:lang w:val="es-ES_tradnl"/>
        </w:rPr>
        <w:t xml:space="preserve"> de 51.870,60 dólares y también los productores recibieron 111 kits </w:t>
      </w:r>
      <w:r w:rsidRPr="00B22D50">
        <w:rPr>
          <w:rFonts w:ascii="Arial" w:hAnsi="Arial" w:cs="Arial"/>
          <w:lang w:val="es-ES_tradnl"/>
        </w:rPr>
        <w:t>de paquetes tecnológicos parcialmente subvencionados – Verano 2024</w:t>
      </w:r>
      <w:r>
        <w:rPr>
          <w:rFonts w:ascii="Arial" w:hAnsi="Arial" w:cs="Arial"/>
          <w:lang w:val="es-ES_tradnl"/>
        </w:rPr>
        <w:t>,</w:t>
      </w:r>
      <w:r w:rsidRPr="00B22D50">
        <w:rPr>
          <w:rFonts w:ascii="Arial" w:hAnsi="Arial" w:cs="Arial"/>
          <w:lang w:val="es-ES_tradnl"/>
        </w:rPr>
        <w:t xml:space="preserve"> por un monto subvencionado de 18.420</w:t>
      </w:r>
      <w:r>
        <w:rPr>
          <w:rFonts w:ascii="Arial" w:hAnsi="Arial" w:cs="Arial"/>
          <w:lang w:val="es-ES_tradnl"/>
        </w:rPr>
        <w:t xml:space="preserve"> dólares. </w:t>
      </w:r>
    </w:p>
    <w:p w14:paraId="5006E112" w14:textId="77777777" w:rsidR="001624AA" w:rsidRDefault="001624AA" w:rsidP="005E6E5E">
      <w:pPr>
        <w:jc w:val="both"/>
        <w:rPr>
          <w:rFonts w:ascii="Arial" w:hAnsi="Arial" w:cs="Arial"/>
          <w:lang w:val="es-EC"/>
        </w:rPr>
      </w:pPr>
    </w:p>
    <w:p w14:paraId="0E76930D" w14:textId="3A932F79" w:rsidR="005E6E5E" w:rsidRDefault="005E6E5E" w:rsidP="005E6E5E">
      <w:pPr>
        <w:jc w:val="both"/>
        <w:rPr>
          <w:rFonts w:ascii="Arial" w:hAnsi="Arial" w:cs="Arial"/>
          <w:lang w:val="es-EC"/>
        </w:rPr>
      </w:pPr>
      <w:r>
        <w:rPr>
          <w:rFonts w:ascii="Arial" w:hAnsi="Arial" w:cs="Arial"/>
          <w:lang w:val="es-EC"/>
        </w:rPr>
        <w:t>En 2024, la Unidad de Gestión Distrital de Desarrollo Rural gener</w:t>
      </w:r>
      <w:r w:rsidR="002847F1">
        <w:rPr>
          <w:rFonts w:ascii="Arial" w:hAnsi="Arial" w:cs="Arial"/>
          <w:lang w:val="es-EC"/>
        </w:rPr>
        <w:t>ó</w:t>
      </w:r>
      <w:r>
        <w:rPr>
          <w:rFonts w:ascii="Arial" w:hAnsi="Arial" w:cs="Arial"/>
          <w:lang w:val="es-EC"/>
        </w:rPr>
        <w:t xml:space="preserve"> 171 </w:t>
      </w:r>
      <w:r w:rsidRPr="005E6E5E">
        <w:rPr>
          <w:rFonts w:ascii="Arial" w:hAnsi="Arial" w:cs="Arial"/>
          <w:lang w:val="es-EC"/>
        </w:rPr>
        <w:t>providencias de adjudicación</w:t>
      </w:r>
      <w:r>
        <w:rPr>
          <w:rFonts w:ascii="Arial" w:hAnsi="Arial" w:cs="Arial"/>
          <w:lang w:val="es-EC"/>
        </w:rPr>
        <w:t xml:space="preserve">, por </w:t>
      </w:r>
      <w:r w:rsidRPr="005E6E5E">
        <w:rPr>
          <w:rFonts w:ascii="Arial" w:hAnsi="Arial" w:cs="Arial"/>
          <w:lang w:val="es-EC"/>
        </w:rPr>
        <w:t>3404,4</w:t>
      </w:r>
      <w:r>
        <w:rPr>
          <w:rFonts w:ascii="Arial" w:hAnsi="Arial" w:cs="Arial"/>
          <w:lang w:val="es-EC"/>
        </w:rPr>
        <w:t xml:space="preserve">9 </w:t>
      </w:r>
      <w:r w:rsidRPr="005E6E5E">
        <w:rPr>
          <w:rFonts w:ascii="Arial" w:hAnsi="Arial" w:cs="Arial"/>
          <w:lang w:val="es-EC"/>
        </w:rPr>
        <w:t>hectáreas</w:t>
      </w:r>
      <w:r>
        <w:rPr>
          <w:rFonts w:ascii="Arial" w:hAnsi="Arial" w:cs="Arial"/>
          <w:lang w:val="es-EC"/>
        </w:rPr>
        <w:t xml:space="preserve">. Se implementaron 210 expedientes de adjudicación, se realizaron 201 inspecciones de campo a predios rurales para adjudicación y se otorgaron 186 títulos de propiedad, que regularizaron 4.930,32 hectáreas. </w:t>
      </w:r>
    </w:p>
    <w:p w14:paraId="368B452C" w14:textId="17E97C88" w:rsidR="005E6E5E" w:rsidRDefault="005E6E5E" w:rsidP="005E6E5E">
      <w:pPr>
        <w:jc w:val="both"/>
        <w:rPr>
          <w:rFonts w:ascii="Arial" w:hAnsi="Arial" w:cs="Arial"/>
          <w:lang w:val="es-EC"/>
        </w:rPr>
      </w:pPr>
    </w:p>
    <w:p w14:paraId="4950804F" w14:textId="28A5A17A" w:rsidR="0027136E" w:rsidRDefault="00B655F0" w:rsidP="005E6E5E">
      <w:pPr>
        <w:jc w:val="both"/>
        <w:rPr>
          <w:rFonts w:ascii="Arial" w:hAnsi="Arial" w:cs="Arial"/>
          <w:lang w:val="es-EC"/>
        </w:rPr>
      </w:pPr>
      <w:r>
        <w:rPr>
          <w:rFonts w:ascii="Arial" w:hAnsi="Arial" w:cs="Arial"/>
          <w:lang w:val="es-EC"/>
        </w:rPr>
        <w:t xml:space="preserve">El director Distrital del MAG en Zamora Chinchipe, </w:t>
      </w:r>
      <w:r w:rsidR="0027136E">
        <w:rPr>
          <w:rFonts w:ascii="Arial" w:hAnsi="Arial" w:cs="Arial"/>
          <w:lang w:val="es-EC"/>
        </w:rPr>
        <w:t xml:space="preserve">Oswaldo Montaño, </w:t>
      </w:r>
      <w:r>
        <w:rPr>
          <w:rFonts w:ascii="Arial" w:hAnsi="Arial" w:cs="Arial"/>
          <w:lang w:val="es-EC"/>
        </w:rPr>
        <w:t>destacó que “el trabajo del MAG en 2024 fue dar un acompañamiento permanente a los productores, en especial a los pequeños y medianos productores</w:t>
      </w:r>
      <w:r w:rsidR="00D05CEB">
        <w:rPr>
          <w:rFonts w:ascii="Arial" w:hAnsi="Arial" w:cs="Arial"/>
          <w:lang w:val="es-EC"/>
        </w:rPr>
        <w:t>,</w:t>
      </w:r>
      <w:r>
        <w:rPr>
          <w:rFonts w:ascii="Arial" w:hAnsi="Arial" w:cs="Arial"/>
          <w:lang w:val="es-EC"/>
        </w:rPr>
        <w:t xml:space="preserve"> para que tengan mejores condiciones y herramientas para realizar sus actividades diarias </w:t>
      </w:r>
      <w:r w:rsidR="00D05CEB">
        <w:rPr>
          <w:rFonts w:ascii="Arial" w:hAnsi="Arial" w:cs="Arial"/>
          <w:lang w:val="es-EC"/>
        </w:rPr>
        <w:t>y las producciones agrícolas de la provincia sean mejores”.</w:t>
      </w:r>
    </w:p>
    <w:p w14:paraId="1D0D62E0" w14:textId="77777777" w:rsidR="0027136E" w:rsidRDefault="0027136E" w:rsidP="005E6E5E">
      <w:pPr>
        <w:jc w:val="both"/>
        <w:rPr>
          <w:rFonts w:ascii="Arial" w:hAnsi="Arial" w:cs="Arial"/>
          <w:lang w:val="es-EC"/>
        </w:rPr>
      </w:pPr>
    </w:p>
    <w:p w14:paraId="635610B4" w14:textId="30573808" w:rsidR="005E6E5E" w:rsidRDefault="005E6E5E" w:rsidP="005E6E5E">
      <w:pPr>
        <w:jc w:val="both"/>
        <w:rPr>
          <w:rFonts w:ascii="Arial" w:hAnsi="Arial" w:cs="Arial"/>
          <w:lang w:val="es-EC"/>
        </w:rPr>
      </w:pPr>
      <w:r>
        <w:rPr>
          <w:rFonts w:ascii="Arial" w:hAnsi="Arial" w:cs="Arial"/>
          <w:lang w:val="es-EC"/>
        </w:rPr>
        <w:t xml:space="preserve">Con respecto al desarrollo organizacional, se brindaron 106 </w:t>
      </w:r>
      <w:r w:rsidRPr="005E6E5E">
        <w:rPr>
          <w:rFonts w:ascii="Arial" w:hAnsi="Arial" w:cs="Arial"/>
          <w:lang w:val="es-EC"/>
        </w:rPr>
        <w:t>asesorías a organizaciones y usuarios externos</w:t>
      </w:r>
      <w:r w:rsidR="002148B0">
        <w:rPr>
          <w:rFonts w:ascii="Arial" w:hAnsi="Arial" w:cs="Arial"/>
          <w:lang w:val="es-EC"/>
        </w:rPr>
        <w:t xml:space="preserve"> </w:t>
      </w:r>
      <w:r w:rsidRPr="005E6E5E">
        <w:rPr>
          <w:rFonts w:ascii="Arial" w:hAnsi="Arial" w:cs="Arial"/>
          <w:lang w:val="es-EC"/>
        </w:rPr>
        <w:t>en procesos de legalización y/o regularización y entrega de información.</w:t>
      </w:r>
      <w:r w:rsidR="002148B0">
        <w:rPr>
          <w:rFonts w:ascii="Arial" w:hAnsi="Arial" w:cs="Arial"/>
          <w:lang w:val="es-EC"/>
        </w:rPr>
        <w:t xml:space="preserve"> También se registraron 21 directivas de cabildos y organizaciones del sector agropecuario, así como 11 registros</w:t>
      </w:r>
      <w:r w:rsidRPr="005E6E5E">
        <w:rPr>
          <w:rFonts w:ascii="Arial" w:hAnsi="Arial" w:cs="Arial"/>
          <w:lang w:val="es-EC"/>
        </w:rPr>
        <w:t xml:space="preserve"> de inclusión o exclusión de socios de las organizaciones del sector agropecuario.</w:t>
      </w:r>
    </w:p>
    <w:p w14:paraId="5ED050C3" w14:textId="3C6BF6DA" w:rsidR="005E6E5E" w:rsidRDefault="005E6E5E" w:rsidP="002148B0">
      <w:pPr>
        <w:jc w:val="both"/>
        <w:rPr>
          <w:rFonts w:ascii="Arial" w:hAnsi="Arial" w:cs="Arial"/>
          <w:lang w:val="es-EC"/>
        </w:rPr>
      </w:pPr>
    </w:p>
    <w:p w14:paraId="3B55BD1D" w14:textId="4F430009" w:rsidR="00387A6E" w:rsidRDefault="00CC6D38" w:rsidP="00387A6E">
      <w:pPr>
        <w:jc w:val="both"/>
        <w:rPr>
          <w:rFonts w:ascii="Arial" w:hAnsi="Arial" w:cs="Arial"/>
          <w:lang w:val="es-EC"/>
        </w:rPr>
      </w:pPr>
      <w:r>
        <w:rPr>
          <w:rFonts w:ascii="Arial" w:hAnsi="Arial" w:cs="Arial"/>
          <w:lang w:val="es-EC"/>
        </w:rPr>
        <w:t xml:space="preserve">82 productores se capacitaron en 10 talleres de temas de valor agregado, se hicieron 109 seguimientos y asistencias técnicas a emprendimientos con valor agregado, </w:t>
      </w:r>
      <w:r w:rsidR="00E62CAA">
        <w:rPr>
          <w:rFonts w:ascii="Arial" w:hAnsi="Arial" w:cs="Arial"/>
          <w:lang w:val="es-EC"/>
        </w:rPr>
        <w:t xml:space="preserve">se registraron 39 nuevos productores agrícolas en INFOCAMPO y tres emprendimientos rurales fueron fortalecidos desde el MAG. </w:t>
      </w:r>
    </w:p>
    <w:p w14:paraId="62113585" w14:textId="77777777" w:rsidR="00387A6E" w:rsidRDefault="00387A6E" w:rsidP="00387A6E">
      <w:pPr>
        <w:jc w:val="both"/>
        <w:rPr>
          <w:rFonts w:ascii="Arial" w:hAnsi="Arial" w:cs="Arial"/>
          <w:lang w:val="es-EC"/>
        </w:rPr>
      </w:pPr>
    </w:p>
    <w:p w14:paraId="06D3D038" w14:textId="2580E95E" w:rsidR="002148B0" w:rsidRDefault="00E62CAA" w:rsidP="00E62CAA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C"/>
        </w:rPr>
        <w:t>El P</w:t>
      </w:r>
      <w:r w:rsidRPr="00E62CAA">
        <w:rPr>
          <w:rFonts w:ascii="Arial" w:hAnsi="Arial" w:cs="Arial"/>
          <w:lang w:val="es-EC"/>
        </w:rPr>
        <w:t xml:space="preserve">royecto de </w:t>
      </w:r>
      <w:r>
        <w:rPr>
          <w:rFonts w:ascii="Arial" w:hAnsi="Arial" w:cs="Arial"/>
          <w:lang w:val="es-EC"/>
        </w:rPr>
        <w:t>I</w:t>
      </w:r>
      <w:r w:rsidRPr="00E62CAA">
        <w:rPr>
          <w:rFonts w:ascii="Arial" w:hAnsi="Arial" w:cs="Arial"/>
          <w:lang w:val="es-EC"/>
        </w:rPr>
        <w:t xml:space="preserve">nnovación de </w:t>
      </w:r>
      <w:r>
        <w:rPr>
          <w:rFonts w:ascii="Arial" w:hAnsi="Arial" w:cs="Arial"/>
          <w:lang w:val="es-EC"/>
        </w:rPr>
        <w:t>A</w:t>
      </w:r>
      <w:r w:rsidRPr="00E62CAA">
        <w:rPr>
          <w:rFonts w:ascii="Arial" w:hAnsi="Arial" w:cs="Arial"/>
          <w:lang w:val="es-EC"/>
        </w:rPr>
        <w:t xml:space="preserve">sistencia </w:t>
      </w:r>
      <w:r w:rsidR="00796AC6">
        <w:rPr>
          <w:rFonts w:ascii="Arial" w:hAnsi="Arial" w:cs="Arial"/>
          <w:lang w:val="es-EC"/>
        </w:rPr>
        <w:t>T</w:t>
      </w:r>
      <w:r w:rsidRPr="00E62CAA">
        <w:rPr>
          <w:rFonts w:ascii="Arial" w:hAnsi="Arial" w:cs="Arial"/>
          <w:lang w:val="es-EC"/>
        </w:rPr>
        <w:t xml:space="preserve">écnica y </w:t>
      </w:r>
      <w:r>
        <w:rPr>
          <w:rFonts w:ascii="Arial" w:hAnsi="Arial" w:cs="Arial"/>
          <w:lang w:val="es-EC"/>
        </w:rPr>
        <w:t>E</w:t>
      </w:r>
      <w:r w:rsidRPr="00E62CAA">
        <w:rPr>
          <w:rFonts w:ascii="Arial" w:hAnsi="Arial" w:cs="Arial"/>
          <w:lang w:val="es-EC"/>
        </w:rPr>
        <w:t xml:space="preserve">xtensión </w:t>
      </w:r>
      <w:r>
        <w:rPr>
          <w:rFonts w:ascii="Arial" w:hAnsi="Arial" w:cs="Arial"/>
          <w:lang w:val="es-EC"/>
        </w:rPr>
        <w:t>R</w:t>
      </w:r>
      <w:r w:rsidRPr="00E62CAA">
        <w:rPr>
          <w:rFonts w:ascii="Arial" w:hAnsi="Arial" w:cs="Arial"/>
          <w:lang w:val="es-EC"/>
        </w:rPr>
        <w:t>ural (</w:t>
      </w:r>
      <w:r>
        <w:rPr>
          <w:rFonts w:ascii="Arial" w:hAnsi="Arial" w:cs="Arial"/>
          <w:lang w:val="es-EC"/>
        </w:rPr>
        <w:t>PIATER</w:t>
      </w:r>
      <w:r w:rsidRPr="00E62CAA">
        <w:rPr>
          <w:rFonts w:ascii="Arial" w:hAnsi="Arial" w:cs="Arial"/>
          <w:lang w:val="es-EC"/>
        </w:rPr>
        <w:t>)</w:t>
      </w:r>
      <w:r>
        <w:rPr>
          <w:rFonts w:ascii="Arial" w:hAnsi="Arial" w:cs="Arial"/>
          <w:lang w:val="es-EC"/>
        </w:rPr>
        <w:t>, que funcionó hasta mayo de 2024, realiz</w:t>
      </w:r>
      <w:r w:rsidR="002847F1">
        <w:rPr>
          <w:rFonts w:ascii="Arial" w:hAnsi="Arial" w:cs="Arial"/>
          <w:lang w:val="es-EC"/>
        </w:rPr>
        <w:t>ó</w:t>
      </w:r>
      <w:r w:rsidR="00796AC6">
        <w:rPr>
          <w:rFonts w:ascii="Arial" w:hAnsi="Arial" w:cs="Arial"/>
          <w:lang w:val="es-EC"/>
        </w:rPr>
        <w:t xml:space="preserve"> </w:t>
      </w:r>
      <w:r>
        <w:rPr>
          <w:rFonts w:ascii="Arial" w:hAnsi="Arial" w:cs="Arial"/>
          <w:lang w:val="es-ES_tradnl"/>
        </w:rPr>
        <w:t>3.</w:t>
      </w:r>
      <w:r w:rsidRPr="00E62CAA">
        <w:rPr>
          <w:rFonts w:ascii="Arial" w:hAnsi="Arial" w:cs="Arial"/>
          <w:lang w:val="es-ES_tradnl"/>
        </w:rPr>
        <w:t>109 asistencias técnicas</w:t>
      </w:r>
      <w:r>
        <w:rPr>
          <w:rFonts w:ascii="Arial" w:hAnsi="Arial" w:cs="Arial"/>
          <w:lang w:val="es-ES_tradnl"/>
        </w:rPr>
        <w:t>, 2</w:t>
      </w:r>
      <w:r w:rsidRPr="00E62CAA">
        <w:rPr>
          <w:rFonts w:ascii="Arial" w:hAnsi="Arial" w:cs="Arial"/>
          <w:lang w:val="es-ES_tradnl"/>
        </w:rPr>
        <w:t xml:space="preserve">66 </w:t>
      </w:r>
      <w:r>
        <w:rPr>
          <w:rFonts w:ascii="Arial" w:hAnsi="Arial" w:cs="Arial"/>
          <w:lang w:val="es-ES_tradnl"/>
        </w:rPr>
        <w:lastRenderedPageBreak/>
        <w:t>c</w:t>
      </w:r>
      <w:r w:rsidRPr="00E62CAA">
        <w:rPr>
          <w:rFonts w:ascii="Arial" w:hAnsi="Arial" w:cs="Arial"/>
          <w:lang w:val="es-ES_tradnl"/>
        </w:rPr>
        <w:t xml:space="preserve">apacitaciones </w:t>
      </w:r>
      <w:r>
        <w:rPr>
          <w:rFonts w:ascii="Arial" w:hAnsi="Arial" w:cs="Arial"/>
          <w:lang w:val="es-ES_tradnl"/>
        </w:rPr>
        <w:t xml:space="preserve">y </w:t>
      </w:r>
      <w:r w:rsidRPr="00E62CA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>.</w:t>
      </w:r>
      <w:r w:rsidRPr="00E62CAA">
        <w:rPr>
          <w:rFonts w:ascii="Arial" w:hAnsi="Arial" w:cs="Arial"/>
          <w:lang w:val="es-ES_tradnl"/>
        </w:rPr>
        <w:t xml:space="preserve">478 </w:t>
      </w:r>
      <w:r>
        <w:rPr>
          <w:rFonts w:ascii="Arial" w:hAnsi="Arial" w:cs="Arial"/>
          <w:lang w:val="es-ES_tradnl"/>
        </w:rPr>
        <w:t>p</w:t>
      </w:r>
      <w:r w:rsidRPr="00E62CAA">
        <w:rPr>
          <w:rFonts w:ascii="Arial" w:hAnsi="Arial" w:cs="Arial"/>
          <w:lang w:val="es-ES_tradnl"/>
        </w:rPr>
        <w:t>roductores</w:t>
      </w:r>
      <w:r>
        <w:rPr>
          <w:rFonts w:ascii="Arial" w:hAnsi="Arial" w:cs="Arial"/>
          <w:lang w:val="es-ES_tradnl"/>
        </w:rPr>
        <w:t xml:space="preserve"> fueron</w:t>
      </w:r>
      <w:r w:rsidRPr="00E62CAA">
        <w:rPr>
          <w:rFonts w:ascii="Arial" w:hAnsi="Arial" w:cs="Arial"/>
          <w:lang w:val="es-ES_tradnl"/>
        </w:rPr>
        <w:t xml:space="preserve"> capacitados en buenas prácticas tecnológicas/productivas</w:t>
      </w:r>
      <w:r>
        <w:rPr>
          <w:rFonts w:ascii="Arial" w:hAnsi="Arial" w:cs="Arial"/>
          <w:lang w:val="es-ES_tradnl"/>
        </w:rPr>
        <w:t>.</w:t>
      </w:r>
    </w:p>
    <w:p w14:paraId="58E99E11" w14:textId="1561C739" w:rsidR="00E62CAA" w:rsidRDefault="00E62CAA" w:rsidP="00E62CAA">
      <w:pPr>
        <w:jc w:val="both"/>
        <w:rPr>
          <w:rFonts w:ascii="Arial" w:hAnsi="Arial" w:cs="Arial"/>
          <w:lang w:val="es-ES_tradnl"/>
        </w:rPr>
      </w:pPr>
    </w:p>
    <w:p w14:paraId="3FD2223F" w14:textId="0D0FA645" w:rsidR="005912D1" w:rsidRDefault="005912D1" w:rsidP="00E62CAA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En cambio, desde junio 2024 entró en vigencia el Proyecto Integral de Diversificación Agroproductiva</w:t>
      </w:r>
      <w:r w:rsidR="00796AC6">
        <w:rPr>
          <w:rFonts w:ascii="Arial" w:hAnsi="Arial" w:cs="Arial"/>
          <w:lang w:val="es-ES_tradnl"/>
        </w:rPr>
        <w:t xml:space="preserve"> </w:t>
      </w:r>
      <w:r w:rsidR="002847F1">
        <w:rPr>
          <w:rFonts w:ascii="Arial" w:hAnsi="Arial" w:cs="Arial"/>
          <w:lang w:val="es-ES_tradnl"/>
        </w:rPr>
        <w:t xml:space="preserve">(PIDARA), que efectuó </w:t>
      </w:r>
      <w:r w:rsidR="003C4128">
        <w:rPr>
          <w:rFonts w:ascii="Arial" w:hAnsi="Arial" w:cs="Arial"/>
          <w:lang w:val="es-ES_tradnl"/>
        </w:rPr>
        <w:t xml:space="preserve">2.312 asistencias técnicas, 220 capacitaciones y 1.416 productores capacitados. </w:t>
      </w:r>
    </w:p>
    <w:p w14:paraId="251BEB57" w14:textId="3B202EAA" w:rsidR="005912D1" w:rsidRDefault="005912D1" w:rsidP="00E62CAA">
      <w:pPr>
        <w:jc w:val="both"/>
        <w:rPr>
          <w:rFonts w:ascii="Arial" w:hAnsi="Arial" w:cs="Arial"/>
          <w:lang w:val="es-ES_tradnl"/>
        </w:rPr>
      </w:pPr>
    </w:p>
    <w:p w14:paraId="0CE1A57A" w14:textId="40A6A982" w:rsidR="003C4128" w:rsidRDefault="008D548C" w:rsidP="003C4128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En la </w:t>
      </w:r>
      <w:r w:rsidR="003C4128" w:rsidRPr="003C4128">
        <w:rPr>
          <w:rFonts w:ascii="Arial" w:hAnsi="Arial" w:cs="Arial"/>
          <w:lang w:val="es-ES_tradnl"/>
        </w:rPr>
        <w:t>Agricultura Familiar Campesina</w:t>
      </w:r>
      <w:r w:rsidR="00FB6DB4">
        <w:rPr>
          <w:rFonts w:ascii="Arial" w:hAnsi="Arial" w:cs="Arial"/>
          <w:lang w:val="es-ES_tradnl"/>
        </w:rPr>
        <w:t xml:space="preserve">, </w:t>
      </w:r>
      <w:r w:rsidR="003C4128" w:rsidRPr="003C4128">
        <w:rPr>
          <w:rFonts w:ascii="Arial" w:hAnsi="Arial" w:cs="Arial"/>
          <w:lang w:val="es-ES_tradnl"/>
        </w:rPr>
        <w:t xml:space="preserve">275 </w:t>
      </w:r>
      <w:r w:rsidR="00FB6DB4">
        <w:rPr>
          <w:rFonts w:ascii="Arial" w:hAnsi="Arial" w:cs="Arial"/>
          <w:lang w:val="es-ES_tradnl"/>
        </w:rPr>
        <w:t>p</w:t>
      </w:r>
      <w:r w:rsidR="003C4128" w:rsidRPr="003C4128">
        <w:rPr>
          <w:rFonts w:ascii="Arial" w:hAnsi="Arial" w:cs="Arial"/>
          <w:lang w:val="es-ES_tradnl"/>
        </w:rPr>
        <w:t>roductores de la</w:t>
      </w:r>
      <w:r w:rsidR="00FB6DB4">
        <w:rPr>
          <w:rFonts w:ascii="Arial" w:hAnsi="Arial" w:cs="Arial"/>
          <w:lang w:val="es-ES_tradnl"/>
        </w:rPr>
        <w:t xml:space="preserve"> AFC se vincularon</w:t>
      </w:r>
      <w:r w:rsidR="003C4128" w:rsidRPr="003C4128">
        <w:rPr>
          <w:rFonts w:ascii="Arial" w:hAnsi="Arial" w:cs="Arial"/>
          <w:lang w:val="es-ES_tradnl"/>
        </w:rPr>
        <w:t xml:space="preserve"> a Circuitos Alternativos de </w:t>
      </w:r>
      <w:r w:rsidR="00FB6DB4">
        <w:rPr>
          <w:rFonts w:ascii="Arial" w:hAnsi="Arial" w:cs="Arial"/>
          <w:lang w:val="es-ES_tradnl"/>
        </w:rPr>
        <w:t>C</w:t>
      </w:r>
      <w:r w:rsidR="003C4128" w:rsidRPr="003C4128">
        <w:rPr>
          <w:rFonts w:ascii="Arial" w:hAnsi="Arial" w:cs="Arial"/>
          <w:lang w:val="es-ES_tradnl"/>
        </w:rPr>
        <w:t xml:space="preserve">omercialización y </w:t>
      </w:r>
      <w:r w:rsidR="002847F1">
        <w:rPr>
          <w:rFonts w:ascii="Arial" w:hAnsi="Arial" w:cs="Arial"/>
          <w:lang w:val="es-ES_tradnl"/>
        </w:rPr>
        <w:t>e</w:t>
      </w:r>
      <w:r w:rsidR="002847F1" w:rsidRPr="003C4128">
        <w:rPr>
          <w:rFonts w:ascii="Arial" w:hAnsi="Arial" w:cs="Arial"/>
          <w:lang w:val="es-ES_tradnl"/>
        </w:rPr>
        <w:t xml:space="preserve">mprendimientos </w:t>
      </w:r>
      <w:r w:rsidR="002847F1">
        <w:rPr>
          <w:rFonts w:ascii="Arial" w:hAnsi="Arial" w:cs="Arial"/>
          <w:lang w:val="es-ES_tradnl"/>
        </w:rPr>
        <w:t>r</w:t>
      </w:r>
      <w:r w:rsidR="002847F1" w:rsidRPr="003C4128">
        <w:rPr>
          <w:rFonts w:ascii="Arial" w:hAnsi="Arial" w:cs="Arial"/>
          <w:lang w:val="es-ES_tradnl"/>
        </w:rPr>
        <w:t>urales</w:t>
      </w:r>
      <w:r w:rsidR="00FB6DB4">
        <w:rPr>
          <w:rFonts w:ascii="Arial" w:hAnsi="Arial" w:cs="Arial"/>
          <w:lang w:val="es-ES_tradnl"/>
        </w:rPr>
        <w:t>, 25 mujeres rurales se desempeña</w:t>
      </w:r>
      <w:r w:rsidR="00796AC6">
        <w:rPr>
          <w:rFonts w:ascii="Arial" w:hAnsi="Arial" w:cs="Arial"/>
          <w:lang w:val="es-ES_tradnl"/>
        </w:rPr>
        <w:t>ro</w:t>
      </w:r>
      <w:r w:rsidR="00FB6DB4">
        <w:rPr>
          <w:rFonts w:ascii="Arial" w:hAnsi="Arial" w:cs="Arial"/>
          <w:lang w:val="es-ES_tradnl"/>
        </w:rPr>
        <w:t xml:space="preserve">n como </w:t>
      </w:r>
      <w:r w:rsidR="003C4128" w:rsidRPr="003C4128">
        <w:rPr>
          <w:rFonts w:ascii="Arial" w:hAnsi="Arial" w:cs="Arial"/>
          <w:lang w:val="es-ES_tradnl"/>
        </w:rPr>
        <w:t>promotoras de sistemas de producción sustentable y sostenible</w:t>
      </w:r>
      <w:r w:rsidR="00FB6DB4">
        <w:rPr>
          <w:rFonts w:ascii="Arial" w:hAnsi="Arial" w:cs="Arial"/>
          <w:lang w:val="es-ES_tradnl"/>
        </w:rPr>
        <w:t>.</w:t>
      </w:r>
    </w:p>
    <w:p w14:paraId="70831B4B" w14:textId="70BB1151" w:rsidR="00FB6DB4" w:rsidRDefault="00FB6DB4" w:rsidP="003C4128">
      <w:pPr>
        <w:jc w:val="both"/>
        <w:rPr>
          <w:rFonts w:ascii="Arial" w:hAnsi="Arial" w:cs="Arial"/>
          <w:lang w:val="es-ES_tradnl"/>
        </w:rPr>
      </w:pPr>
    </w:p>
    <w:p w14:paraId="4796024D" w14:textId="718E7588" w:rsidR="003C4128" w:rsidRDefault="002847F1" w:rsidP="003C4128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Fueron implementadas </w:t>
      </w:r>
      <w:r w:rsidR="0054195A">
        <w:rPr>
          <w:rFonts w:ascii="Arial" w:hAnsi="Arial" w:cs="Arial"/>
          <w:lang w:val="es-ES_tradnl"/>
        </w:rPr>
        <w:t>12</w:t>
      </w:r>
      <w:r w:rsidR="003C4128" w:rsidRPr="003C4128">
        <w:rPr>
          <w:rFonts w:ascii="Arial" w:hAnsi="Arial" w:cs="Arial"/>
          <w:lang w:val="es-ES_tradnl"/>
        </w:rPr>
        <w:t xml:space="preserve"> Comunidades de </w:t>
      </w:r>
      <w:r w:rsidR="00FB6DB4">
        <w:rPr>
          <w:rFonts w:ascii="Arial" w:hAnsi="Arial" w:cs="Arial"/>
          <w:lang w:val="es-ES_tradnl"/>
        </w:rPr>
        <w:t>A</w:t>
      </w:r>
      <w:r w:rsidR="003C4128" w:rsidRPr="003C4128">
        <w:rPr>
          <w:rFonts w:ascii="Arial" w:hAnsi="Arial" w:cs="Arial"/>
          <w:lang w:val="es-ES_tradnl"/>
        </w:rPr>
        <w:t>prendizaje</w:t>
      </w:r>
      <w:r w:rsidR="0054195A">
        <w:rPr>
          <w:rFonts w:ascii="Arial" w:hAnsi="Arial" w:cs="Arial"/>
          <w:lang w:val="es-ES_tradnl"/>
        </w:rPr>
        <w:t xml:space="preserve"> que </w:t>
      </w:r>
      <w:r>
        <w:rPr>
          <w:rFonts w:ascii="Arial" w:hAnsi="Arial" w:cs="Arial"/>
          <w:lang w:val="es-ES_tradnl"/>
        </w:rPr>
        <w:t>tuvieron</w:t>
      </w:r>
      <w:r w:rsidR="0054195A">
        <w:rPr>
          <w:rFonts w:ascii="Arial" w:hAnsi="Arial" w:cs="Arial"/>
          <w:lang w:val="es-ES_tradnl"/>
        </w:rPr>
        <w:t xml:space="preserve"> la participación de </w:t>
      </w:r>
      <w:r w:rsidR="003C4128" w:rsidRPr="003C4128">
        <w:rPr>
          <w:rFonts w:ascii="Arial" w:hAnsi="Arial" w:cs="Arial"/>
          <w:lang w:val="es-ES_tradnl"/>
        </w:rPr>
        <w:t>159</w:t>
      </w:r>
      <w:r w:rsidR="0054195A">
        <w:rPr>
          <w:rFonts w:ascii="Arial" w:hAnsi="Arial" w:cs="Arial"/>
          <w:lang w:val="es-ES_tradnl"/>
        </w:rPr>
        <w:t xml:space="preserve"> p</w:t>
      </w:r>
      <w:r w:rsidR="003C4128" w:rsidRPr="003C4128">
        <w:rPr>
          <w:rFonts w:ascii="Arial" w:hAnsi="Arial" w:cs="Arial"/>
          <w:lang w:val="es-ES_tradnl"/>
        </w:rPr>
        <w:t xml:space="preserve">roductores de la </w:t>
      </w:r>
      <w:r w:rsidR="0054195A">
        <w:rPr>
          <w:rFonts w:ascii="Arial" w:hAnsi="Arial" w:cs="Arial"/>
          <w:lang w:val="es-ES_tradnl"/>
        </w:rPr>
        <w:t xml:space="preserve">AFC y fueron </w:t>
      </w:r>
      <w:r w:rsidR="003C4128" w:rsidRPr="003C4128">
        <w:rPr>
          <w:rFonts w:ascii="Arial" w:hAnsi="Arial" w:cs="Arial"/>
          <w:lang w:val="es-ES_tradnl"/>
        </w:rPr>
        <w:t>capacitados en producción sustentable</w:t>
      </w:r>
      <w:r w:rsidR="0054195A">
        <w:rPr>
          <w:rFonts w:ascii="Arial" w:hAnsi="Arial" w:cs="Arial"/>
          <w:lang w:val="es-ES_tradnl"/>
        </w:rPr>
        <w:t xml:space="preserve">. También 13 agricultores obtuvieron el Sello AFC y 467 productores están registrados para acceder al Sello. </w:t>
      </w:r>
    </w:p>
    <w:p w14:paraId="119F1B09" w14:textId="1FDCE065" w:rsidR="0054195A" w:rsidRDefault="0054195A" w:rsidP="003C4128">
      <w:pPr>
        <w:jc w:val="both"/>
        <w:rPr>
          <w:rFonts w:ascii="Arial" w:hAnsi="Arial" w:cs="Arial"/>
          <w:lang w:val="es-ES_tradnl"/>
        </w:rPr>
      </w:pPr>
    </w:p>
    <w:p w14:paraId="4D2B66D2" w14:textId="3F921E0F" w:rsidR="002A2090" w:rsidRDefault="002A2090" w:rsidP="003C4128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Se produjeron 11.375 litros de abono líquido para mejoramiento de la producción agrícola y pecuaria</w:t>
      </w:r>
      <w:r w:rsidR="00796AC6">
        <w:rPr>
          <w:rFonts w:ascii="Arial" w:hAnsi="Arial" w:cs="Arial"/>
          <w:lang w:val="es-ES_tradnl"/>
        </w:rPr>
        <w:t xml:space="preserve"> y además, e</w:t>
      </w:r>
      <w:r>
        <w:rPr>
          <w:rFonts w:ascii="Arial" w:hAnsi="Arial" w:cs="Arial"/>
          <w:lang w:val="es-ES_tradnl"/>
        </w:rPr>
        <w:t>laboraron 12.750 kilogramos de abono sólido  para el mejoramiento de la calidad de suelo</w:t>
      </w:r>
      <w:r w:rsidR="002847F1">
        <w:rPr>
          <w:rFonts w:ascii="Arial" w:hAnsi="Arial" w:cs="Arial"/>
          <w:lang w:val="es-ES_tradnl"/>
        </w:rPr>
        <w:t xml:space="preserve">, además de entregarse </w:t>
      </w:r>
      <w:r>
        <w:rPr>
          <w:rFonts w:ascii="Arial" w:hAnsi="Arial" w:cs="Arial"/>
          <w:lang w:val="es-ES_tradnl"/>
        </w:rPr>
        <w:t>270 créditos de Súper Mujer Rural, por un monto</w:t>
      </w:r>
      <w:r w:rsidR="00796AC6">
        <w:rPr>
          <w:rFonts w:ascii="Arial" w:hAnsi="Arial" w:cs="Arial"/>
          <w:lang w:val="es-ES_tradnl"/>
        </w:rPr>
        <w:t xml:space="preserve"> total</w:t>
      </w:r>
      <w:r>
        <w:rPr>
          <w:rFonts w:ascii="Arial" w:hAnsi="Arial" w:cs="Arial"/>
          <w:lang w:val="es-ES_tradnl"/>
        </w:rPr>
        <w:t xml:space="preserve"> de 732.479,68 dólares. </w:t>
      </w:r>
    </w:p>
    <w:p w14:paraId="44D6CB98" w14:textId="77777777" w:rsidR="002847F1" w:rsidRPr="003C4128" w:rsidRDefault="002847F1" w:rsidP="003C4128">
      <w:pPr>
        <w:jc w:val="both"/>
        <w:rPr>
          <w:rFonts w:ascii="Arial" w:hAnsi="Arial" w:cs="Arial"/>
          <w:lang w:val="es-ES_tradnl"/>
        </w:rPr>
      </w:pPr>
    </w:p>
    <w:p w14:paraId="3284655B" w14:textId="5451694E" w:rsidR="003C4128" w:rsidRDefault="002A2090" w:rsidP="003C4128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Los ganaderos recibieron 102 inseminaciones artificiales con </w:t>
      </w:r>
      <w:r w:rsidR="003C4128" w:rsidRPr="003C4128">
        <w:rPr>
          <w:rFonts w:ascii="Arial" w:hAnsi="Arial" w:cs="Arial"/>
          <w:lang w:val="es-ES_tradnl"/>
        </w:rPr>
        <w:t xml:space="preserve">material genético de la Hacienda </w:t>
      </w:r>
      <w:r w:rsidR="002847F1">
        <w:rPr>
          <w:rFonts w:ascii="Arial" w:hAnsi="Arial" w:cs="Arial"/>
          <w:lang w:val="es-ES_tradnl"/>
        </w:rPr>
        <w:t>E</w:t>
      </w:r>
      <w:r w:rsidR="003C4128" w:rsidRPr="003C4128">
        <w:rPr>
          <w:rFonts w:ascii="Arial" w:hAnsi="Arial" w:cs="Arial"/>
          <w:lang w:val="es-ES_tradnl"/>
        </w:rPr>
        <w:t xml:space="preserve">l Rosario, </w:t>
      </w:r>
      <w:r w:rsidR="00796AC6">
        <w:rPr>
          <w:rFonts w:ascii="Arial" w:hAnsi="Arial" w:cs="Arial"/>
          <w:lang w:val="es-ES_tradnl"/>
        </w:rPr>
        <w:t xml:space="preserve">se conservaron </w:t>
      </w:r>
      <w:r w:rsidR="003C4128" w:rsidRPr="003C4128">
        <w:rPr>
          <w:rFonts w:ascii="Arial" w:hAnsi="Arial" w:cs="Arial"/>
          <w:lang w:val="es-ES_tradnl"/>
        </w:rPr>
        <w:t>4</w:t>
      </w:r>
      <w:r>
        <w:rPr>
          <w:rFonts w:ascii="Arial" w:hAnsi="Arial" w:cs="Arial"/>
          <w:lang w:val="es-ES_tradnl"/>
        </w:rPr>
        <w:t>.</w:t>
      </w:r>
      <w:r w:rsidR="003C4128" w:rsidRPr="003C4128">
        <w:rPr>
          <w:rFonts w:ascii="Arial" w:hAnsi="Arial" w:cs="Arial"/>
          <w:lang w:val="es-ES_tradnl"/>
        </w:rPr>
        <w:t>950 kilogramos de material forrajero</w:t>
      </w:r>
      <w:r>
        <w:rPr>
          <w:rFonts w:ascii="Arial" w:hAnsi="Arial" w:cs="Arial"/>
          <w:lang w:val="es-ES_tradnl"/>
        </w:rPr>
        <w:t xml:space="preserve">, se hicieron </w:t>
      </w:r>
      <w:r w:rsidR="003C4128" w:rsidRPr="003C4128">
        <w:rPr>
          <w:rFonts w:ascii="Arial" w:hAnsi="Arial" w:cs="Arial"/>
          <w:lang w:val="es-ES_tradnl"/>
        </w:rPr>
        <w:t xml:space="preserve">19 </w:t>
      </w:r>
      <w:r>
        <w:rPr>
          <w:rFonts w:ascii="Arial" w:hAnsi="Arial" w:cs="Arial"/>
          <w:lang w:val="es-ES_tradnl"/>
        </w:rPr>
        <w:t>c</w:t>
      </w:r>
      <w:r w:rsidR="003C4128" w:rsidRPr="003C4128">
        <w:rPr>
          <w:rFonts w:ascii="Arial" w:hAnsi="Arial" w:cs="Arial"/>
          <w:lang w:val="es-ES_tradnl"/>
        </w:rPr>
        <w:t xml:space="preserve">apacitaciones </w:t>
      </w:r>
      <w:r>
        <w:rPr>
          <w:rFonts w:ascii="Arial" w:hAnsi="Arial" w:cs="Arial"/>
          <w:lang w:val="es-ES_tradnl"/>
        </w:rPr>
        <w:t xml:space="preserve">sobre manejo y </w:t>
      </w:r>
      <w:r w:rsidR="003C4128" w:rsidRPr="003C4128">
        <w:rPr>
          <w:rFonts w:ascii="Arial" w:hAnsi="Arial" w:cs="Arial"/>
          <w:lang w:val="es-ES_tradnl"/>
        </w:rPr>
        <w:t>productividad pecuaria, con 362</w:t>
      </w:r>
      <w:r>
        <w:rPr>
          <w:rFonts w:ascii="Arial" w:hAnsi="Arial" w:cs="Arial"/>
          <w:lang w:val="es-ES_tradnl"/>
        </w:rPr>
        <w:t xml:space="preserve"> participantes. </w:t>
      </w:r>
    </w:p>
    <w:p w14:paraId="2FE04317" w14:textId="77777777" w:rsidR="00796AC6" w:rsidRDefault="00796AC6" w:rsidP="003C4128">
      <w:pPr>
        <w:jc w:val="both"/>
        <w:rPr>
          <w:rFonts w:ascii="Arial" w:hAnsi="Arial" w:cs="Arial"/>
          <w:lang w:val="es-ES_tradnl"/>
        </w:rPr>
      </w:pPr>
    </w:p>
    <w:p w14:paraId="09A868D8" w14:textId="6DFFAB76" w:rsidR="003D722C" w:rsidRPr="002847F1" w:rsidRDefault="002A2090" w:rsidP="002847F1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Se implementaron dos</w:t>
      </w:r>
      <w:r w:rsidR="003C4128" w:rsidRPr="003C4128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E</w:t>
      </w:r>
      <w:r w:rsidR="003C4128" w:rsidRPr="003C4128">
        <w:rPr>
          <w:rFonts w:ascii="Arial" w:hAnsi="Arial" w:cs="Arial"/>
          <w:lang w:val="es-ES_tradnl"/>
        </w:rPr>
        <w:t xml:space="preserve">scuelas de </w:t>
      </w:r>
      <w:r>
        <w:rPr>
          <w:rFonts w:ascii="Arial" w:hAnsi="Arial" w:cs="Arial"/>
          <w:lang w:val="es-ES_tradnl"/>
        </w:rPr>
        <w:t>F</w:t>
      </w:r>
      <w:r w:rsidR="003C4128" w:rsidRPr="003C4128">
        <w:rPr>
          <w:rFonts w:ascii="Arial" w:hAnsi="Arial" w:cs="Arial"/>
          <w:lang w:val="es-ES_tradnl"/>
        </w:rPr>
        <w:t xml:space="preserve">ortalecimiento </w:t>
      </w:r>
      <w:r>
        <w:rPr>
          <w:rFonts w:ascii="Arial" w:hAnsi="Arial" w:cs="Arial"/>
          <w:lang w:val="es-ES_tradnl"/>
        </w:rPr>
        <w:t>P</w:t>
      </w:r>
      <w:r w:rsidR="003C4128" w:rsidRPr="003C4128">
        <w:rPr>
          <w:rFonts w:ascii="Arial" w:hAnsi="Arial" w:cs="Arial"/>
          <w:lang w:val="es-ES_tradnl"/>
        </w:rPr>
        <w:t xml:space="preserve">roductivo </w:t>
      </w:r>
      <w:r>
        <w:rPr>
          <w:rFonts w:ascii="Arial" w:hAnsi="Arial" w:cs="Arial"/>
          <w:lang w:val="es-ES_tradnl"/>
        </w:rPr>
        <w:t>P</w:t>
      </w:r>
      <w:r w:rsidR="003C4128" w:rsidRPr="003C4128">
        <w:rPr>
          <w:rFonts w:ascii="Arial" w:hAnsi="Arial" w:cs="Arial"/>
          <w:lang w:val="es-ES_tradnl"/>
        </w:rPr>
        <w:t>ecuario con 50 productores</w:t>
      </w:r>
      <w:r w:rsidR="006747EA">
        <w:rPr>
          <w:rFonts w:ascii="Arial" w:hAnsi="Arial" w:cs="Arial"/>
          <w:lang w:val="es-ES_tradnl"/>
        </w:rPr>
        <w:t>, se pus</w:t>
      </w:r>
      <w:r w:rsidR="002847F1">
        <w:rPr>
          <w:rFonts w:ascii="Arial" w:hAnsi="Arial" w:cs="Arial"/>
          <w:lang w:val="es-ES_tradnl"/>
        </w:rPr>
        <w:t>o</w:t>
      </w:r>
      <w:r w:rsidR="006747EA">
        <w:rPr>
          <w:rFonts w:ascii="Arial" w:hAnsi="Arial" w:cs="Arial"/>
          <w:lang w:val="es-ES_tradnl"/>
        </w:rPr>
        <w:t xml:space="preserve"> en funcionamiento dos</w:t>
      </w:r>
      <w:r w:rsidR="003C4128" w:rsidRPr="003C4128">
        <w:rPr>
          <w:rFonts w:ascii="Arial" w:hAnsi="Arial" w:cs="Arial"/>
          <w:lang w:val="es-ES_tradnl"/>
        </w:rPr>
        <w:t xml:space="preserve"> unidades de conservación de pastos y forrajes</w:t>
      </w:r>
      <w:r w:rsidR="006747EA">
        <w:rPr>
          <w:rFonts w:ascii="Arial" w:hAnsi="Arial" w:cs="Arial"/>
          <w:lang w:val="es-ES_tradnl"/>
        </w:rPr>
        <w:t>, se capacit</w:t>
      </w:r>
      <w:r w:rsidR="002847F1">
        <w:rPr>
          <w:rFonts w:ascii="Arial" w:hAnsi="Arial" w:cs="Arial"/>
          <w:lang w:val="es-ES_tradnl"/>
        </w:rPr>
        <w:t>ó</w:t>
      </w:r>
      <w:r w:rsidR="006747EA">
        <w:rPr>
          <w:rFonts w:ascii="Arial" w:hAnsi="Arial" w:cs="Arial"/>
          <w:lang w:val="es-ES_tradnl"/>
        </w:rPr>
        <w:t xml:space="preserve"> a </w:t>
      </w:r>
      <w:r w:rsidR="003C4128" w:rsidRPr="003C4128">
        <w:rPr>
          <w:rFonts w:ascii="Arial" w:hAnsi="Arial" w:cs="Arial"/>
          <w:lang w:val="es-ES_tradnl"/>
        </w:rPr>
        <w:t xml:space="preserve">14 inseminadores comunitarios </w:t>
      </w:r>
      <w:r w:rsidR="006747EA">
        <w:rPr>
          <w:rFonts w:ascii="Arial" w:hAnsi="Arial" w:cs="Arial"/>
          <w:lang w:val="es-ES_tradnl"/>
        </w:rPr>
        <w:t xml:space="preserve">y </w:t>
      </w:r>
      <w:r w:rsidR="003C4128" w:rsidRPr="003C4128">
        <w:rPr>
          <w:rFonts w:ascii="Arial" w:hAnsi="Arial" w:cs="Arial"/>
          <w:lang w:val="es-ES_tradnl"/>
        </w:rPr>
        <w:t>181 productores</w:t>
      </w:r>
      <w:r w:rsidR="00796AC6">
        <w:rPr>
          <w:rFonts w:ascii="Arial" w:hAnsi="Arial" w:cs="Arial"/>
          <w:lang w:val="es-ES_tradnl"/>
        </w:rPr>
        <w:t xml:space="preserve"> </w:t>
      </w:r>
      <w:r w:rsidR="002847F1">
        <w:rPr>
          <w:rFonts w:ascii="Arial" w:hAnsi="Arial" w:cs="Arial"/>
          <w:lang w:val="es-ES_tradnl"/>
        </w:rPr>
        <w:t>capacitados</w:t>
      </w:r>
      <w:r w:rsidR="00796AC6">
        <w:rPr>
          <w:rFonts w:ascii="Arial" w:hAnsi="Arial" w:cs="Arial"/>
          <w:lang w:val="es-ES_tradnl"/>
        </w:rPr>
        <w:t xml:space="preserve"> </w:t>
      </w:r>
      <w:r w:rsidR="003C4128" w:rsidRPr="003C4128">
        <w:rPr>
          <w:rFonts w:ascii="Arial" w:hAnsi="Arial" w:cs="Arial"/>
          <w:lang w:val="es-ES_tradnl"/>
        </w:rPr>
        <w:t>en</w:t>
      </w:r>
      <w:r w:rsidR="00796AC6">
        <w:rPr>
          <w:rFonts w:ascii="Arial" w:hAnsi="Arial" w:cs="Arial"/>
          <w:lang w:val="es-ES_tradnl"/>
        </w:rPr>
        <w:t xml:space="preserve"> las E</w:t>
      </w:r>
      <w:r w:rsidR="003C4128" w:rsidRPr="003C4128">
        <w:rPr>
          <w:rFonts w:ascii="Arial" w:hAnsi="Arial" w:cs="Arial"/>
          <w:lang w:val="es-ES_tradnl"/>
        </w:rPr>
        <w:t>scuelas de Fortalecimiento Productivo Pecuario</w:t>
      </w:r>
      <w:r w:rsidR="006747EA">
        <w:rPr>
          <w:rFonts w:ascii="Arial" w:hAnsi="Arial" w:cs="Arial"/>
          <w:lang w:val="es-ES_tradnl"/>
        </w:rPr>
        <w:t xml:space="preserve">. </w:t>
      </w:r>
    </w:p>
    <w:sectPr w:rsidR="003D722C" w:rsidRPr="002847F1" w:rsidSect="00E41D61">
      <w:headerReference w:type="default" r:id="rId7"/>
      <w:footerReference w:type="default" r:id="rId8"/>
      <w:pgSz w:w="11900" w:h="16840"/>
      <w:pgMar w:top="2268" w:right="1701" w:bottom="1417" w:left="1701" w:header="113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E3B77" w14:textId="77777777" w:rsidR="001D0EEA" w:rsidRDefault="001D0EEA">
      <w:r>
        <w:separator/>
      </w:r>
    </w:p>
  </w:endnote>
  <w:endnote w:type="continuationSeparator" w:id="0">
    <w:p w14:paraId="1AACD81C" w14:textId="77777777" w:rsidR="001D0EEA" w:rsidRDefault="001D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4F8AE" w14:textId="114FD887" w:rsidR="00DF5269" w:rsidRDefault="00E41D6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47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</w:rPr>
      <w:drawing>
        <wp:anchor distT="0" distB="0" distL="0" distR="0" simplePos="0" relativeHeight="251660288" behindDoc="1" locked="0" layoutInCell="1" hidden="0" allowOverlap="1" wp14:anchorId="422B2204" wp14:editId="1EE33C0E">
          <wp:simplePos x="0" y="0"/>
          <wp:positionH relativeFrom="margin">
            <wp:align>center</wp:align>
          </wp:positionH>
          <wp:positionV relativeFrom="page">
            <wp:posOffset>9499600</wp:posOffset>
          </wp:positionV>
          <wp:extent cx="7620236" cy="1421178"/>
          <wp:effectExtent l="0" t="0" r="0" b="7620"/>
          <wp:wrapNone/>
          <wp:docPr id="928148295" name="image1.png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2.png"/>
                  <pic:cNvPicPr preferRelativeResize="0"/>
                </pic:nvPicPr>
                <pic:blipFill>
                  <a:blip r:embed="rId1"/>
                  <a:srcRect t="3374" b="3374"/>
                  <a:stretch>
                    <a:fillRect/>
                  </a:stretch>
                </pic:blipFill>
                <pic:spPr>
                  <a:xfrm>
                    <a:off x="0" y="0"/>
                    <a:ext cx="7620236" cy="14211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0F08D" w14:textId="77777777" w:rsidR="001D0EEA" w:rsidRDefault="001D0EEA">
      <w:r>
        <w:separator/>
      </w:r>
    </w:p>
  </w:footnote>
  <w:footnote w:type="continuationSeparator" w:id="0">
    <w:p w14:paraId="5674BC9E" w14:textId="77777777" w:rsidR="001D0EEA" w:rsidRDefault="001D0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9AC92" w14:textId="26CC93D3" w:rsidR="00DF5269" w:rsidRDefault="00E41D6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47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</w:rPr>
      <w:drawing>
        <wp:anchor distT="0" distB="0" distL="0" distR="0" simplePos="0" relativeHeight="251662336" behindDoc="1" locked="0" layoutInCell="1" hidden="0" allowOverlap="1" wp14:anchorId="60FD7D9D" wp14:editId="50BBFBF0">
          <wp:simplePos x="0" y="0"/>
          <wp:positionH relativeFrom="page">
            <wp:posOffset>45085</wp:posOffset>
          </wp:positionH>
          <wp:positionV relativeFrom="page">
            <wp:posOffset>0</wp:posOffset>
          </wp:positionV>
          <wp:extent cx="7558405" cy="1238250"/>
          <wp:effectExtent l="0" t="0" r="0" b="6350"/>
          <wp:wrapNone/>
          <wp:docPr id="1109350323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 t="9042" b="9042"/>
                  <a:stretch>
                    <a:fillRect/>
                  </a:stretch>
                </pic:blipFill>
                <pic:spPr>
                  <a:xfrm>
                    <a:off x="0" y="0"/>
                    <a:ext cx="7558405" cy="1238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56FC6590" wp14:editId="20C94CC2">
              <wp:simplePos x="0" y="0"/>
              <wp:positionH relativeFrom="page">
                <wp:posOffset>778199</wp:posOffset>
              </wp:positionH>
              <wp:positionV relativeFrom="page">
                <wp:posOffset>434340</wp:posOffset>
              </wp:positionV>
              <wp:extent cx="1590029" cy="377125"/>
              <wp:effectExtent l="0" t="0" r="0" b="0"/>
              <wp:wrapNone/>
              <wp:docPr id="1073741832" name="Rectángulo 1073741832" descr="Boletín N° 0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55748" y="3596200"/>
                        <a:ext cx="1580504" cy="36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971366" w14:textId="77777777" w:rsidR="00DF5269" w:rsidRDefault="005110E8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28"/>
                            </w:rPr>
                            <w:t>Boletín N° 000</w:t>
                          </w:r>
                        </w:p>
                      </w:txbxContent>
                    </wps:txbx>
                    <wps:bodyPr spcFirstLastPara="1" wrap="square" lIns="45675" tIns="45675" rIns="45675" bIns="4567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FC6590" id="Rectángulo 1073741832" o:spid="_x0000_s1028" alt="Boletín N° 000" style="position:absolute;margin-left:61.3pt;margin-top:34.2pt;width:125.2pt;height:29.7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" filled="f" stroked="f">
              <v:textbox inset="1.26875mm,1.26875mm,1.26875mm,1.26875mm">
                <w:txbxContent>
                  <w:p w14:paraId="4C971366" w14:textId="77777777" w:rsidR="00DF5269" w:rsidRDefault="005110E8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28"/>
                      </w:rPr>
                      <w:t>Boletín N° 000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269"/>
    <w:rsid w:val="00031025"/>
    <w:rsid w:val="00142A25"/>
    <w:rsid w:val="001624AA"/>
    <w:rsid w:val="001D0EEA"/>
    <w:rsid w:val="002148B0"/>
    <w:rsid w:val="00252C0A"/>
    <w:rsid w:val="0027136E"/>
    <w:rsid w:val="002847F1"/>
    <w:rsid w:val="0028711F"/>
    <w:rsid w:val="002A2090"/>
    <w:rsid w:val="00346F58"/>
    <w:rsid w:val="00387A6E"/>
    <w:rsid w:val="003C4128"/>
    <w:rsid w:val="003D722C"/>
    <w:rsid w:val="003F05DE"/>
    <w:rsid w:val="003F63EB"/>
    <w:rsid w:val="00450CD3"/>
    <w:rsid w:val="0046165B"/>
    <w:rsid w:val="0049161A"/>
    <w:rsid w:val="004A5FF5"/>
    <w:rsid w:val="005110E8"/>
    <w:rsid w:val="0054195A"/>
    <w:rsid w:val="005912D1"/>
    <w:rsid w:val="005E6E5E"/>
    <w:rsid w:val="006747EA"/>
    <w:rsid w:val="006B3162"/>
    <w:rsid w:val="00781ECC"/>
    <w:rsid w:val="00796AC6"/>
    <w:rsid w:val="00800EF1"/>
    <w:rsid w:val="00837A8A"/>
    <w:rsid w:val="00863B6E"/>
    <w:rsid w:val="008A1560"/>
    <w:rsid w:val="008C549E"/>
    <w:rsid w:val="008D548C"/>
    <w:rsid w:val="00985BE3"/>
    <w:rsid w:val="009D68FD"/>
    <w:rsid w:val="00A27E52"/>
    <w:rsid w:val="00A97071"/>
    <w:rsid w:val="00AB7410"/>
    <w:rsid w:val="00B17D91"/>
    <w:rsid w:val="00B22D50"/>
    <w:rsid w:val="00B24ADD"/>
    <w:rsid w:val="00B655F0"/>
    <w:rsid w:val="00B837C5"/>
    <w:rsid w:val="00BB4148"/>
    <w:rsid w:val="00CA500B"/>
    <w:rsid w:val="00CC6D38"/>
    <w:rsid w:val="00D05CEB"/>
    <w:rsid w:val="00D57A53"/>
    <w:rsid w:val="00DF5269"/>
    <w:rsid w:val="00E2463F"/>
    <w:rsid w:val="00E41D61"/>
    <w:rsid w:val="00E62CAA"/>
    <w:rsid w:val="00EE3E96"/>
    <w:rsid w:val="00F63BB3"/>
    <w:rsid w:val="00FA5A8B"/>
    <w:rsid w:val="00FB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31057"/>
  <w15:docId w15:val="{57D1792C-E378-477C-8301-E37306FF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Calibri" w:eastAsia="Arial Unicode MS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252C0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2C0A"/>
    <w:rPr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252C0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2C0A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0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NNPUdWIwJ0At226Wtyh0FFPyeg==">CgMxLjA4AHIhMTBoV1hUdjFTUjNteVNNblBiSmd0bzY2dHBJYlRUTVBF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655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Alberto Gualotuña Pastrano</dc:creator>
  <cp:lastModifiedBy>Luis Alberto Gualotuña Pastrano</cp:lastModifiedBy>
  <cp:revision>2</cp:revision>
  <dcterms:created xsi:type="dcterms:W3CDTF">2025-06-16T19:48:00Z</dcterms:created>
  <dcterms:modified xsi:type="dcterms:W3CDTF">2025-06-16T19:48:00Z</dcterms:modified>
</cp:coreProperties>
</file>